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jc w:val="center"/>
      </w:pPr>
      <w:r>
        <w:rPr>
          <w:color w:val="6B8F71"/>
          <w:sz w:val="28"/>
        </w:rPr>
        <w:t>━━━━━━━━━━━━━━━━━━━━</w:t>
      </w:r>
    </w:p>
    <w:p>
      <w:pPr>
        <w:spacing w:line="276" w:lineRule="auto"/>
      </w:pPr>
    </w:p>
    <w:p>
      <w:pPr>
        <w:spacing w:line="276" w:lineRule="auto"/>
        <w:jc w:val="center"/>
      </w:pPr>
      <w:r>
        <w:rPr>
          <w:rFonts w:ascii="Cambria" w:hAnsi="Cambria"/>
          <w:b/>
          <w:color w:val="6B8F71"/>
          <w:sz w:val="24"/>
        </w:rPr>
        <w:t>COMPASSION EDUCATION</w:t>
      </w:r>
    </w:p>
    <w:p>
      <w:pPr>
        <w:spacing w:line="276" w:lineRule="auto"/>
      </w:pPr>
    </w:p>
    <w:p>
      <w:pPr>
        <w:spacing w:line="276" w:lineRule="auto"/>
        <w:jc w:val="center"/>
      </w:pPr>
      <w:r>
        <w:rPr>
          <w:rFonts w:ascii="Cambria" w:hAnsi="Cambria"/>
          <w:b/>
          <w:color w:val="2C3E2D"/>
          <w:sz w:val="56"/>
        </w:rPr>
        <w:t>Assessment Toolkit</w:t>
      </w:r>
    </w:p>
    <w:p>
      <w:pPr>
        <w:spacing w:line="276" w:lineRule="auto"/>
      </w:pPr>
    </w:p>
    <w:p>
      <w:pPr>
        <w:spacing w:line="276" w:lineRule="auto"/>
        <w:jc w:val="center"/>
      </w:pPr>
      <w:r>
        <w:rPr>
          <w:color w:val="6B8F71"/>
          <w:sz w:val="28"/>
        </w:rPr>
        <w:t>━━━━━━━━━━━━━━━━━━━━</w:t>
      </w:r>
    </w:p>
    <w:p>
      <w:pPr>
        <w:spacing w:line="276" w:lineRule="auto"/>
      </w:pPr>
    </w:p>
    <w:p>
      <w:pPr>
        <w:spacing w:line="276" w:lineRule="auto"/>
      </w:pPr>
    </w:p>
    <w:p>
      <w:pPr>
        <w:spacing w:line="276" w:lineRule="auto"/>
      </w:pPr>
    </w:p>
    <w:p>
      <w:pPr>
        <w:spacing w:line="276" w:lineRule="auto"/>
      </w:pPr>
    </w:p>
    <w:p>
      <w:pPr>
        <w:spacing w:line="276" w:lineRule="auto"/>
        <w:jc w:val="center"/>
      </w:pPr>
      <w:r>
        <w:rPr>
          <w:rFonts w:ascii="Cambria" w:hAnsi="Cambria"/>
          <w:color w:val="6B6B6B"/>
          <w:sz w:val="22"/>
        </w:rPr>
        <w:t>Gentle Steps — Compassion Education</w:t>
      </w:r>
    </w:p>
    <w:p>
      <w:pPr>
        <w:spacing w:line="276" w:lineRule="auto"/>
        <w:jc w:val="center"/>
      </w:pPr>
      <w:r>
        <w:rPr>
          <w:color w:val="6B6B6B"/>
          <w:sz w:val="20"/>
        </w:rPr>
        <w:t>Confidential · Prepared for Dolly</w:t>
      </w:r>
    </w:p>
    <w:p>
      <w:pPr>
        <w:spacing w:line="276" w:lineRule="auto"/>
        <w:jc w:val="center"/>
      </w:pPr>
      <w:r>
        <w:rPr>
          <w:b/>
          <w:color w:val="6B8F71"/>
          <w:sz w:val="20"/>
        </w:rPr>
        <w:t>May 2026</w:t>
      </w:r>
    </w:p>
    <w:p>
      <w:pPr>
        <w:spacing w:line="276" w:lineRule="auto"/>
      </w:pPr>
      <w:r>
        <w:br w:type="page"/>
      </w:r>
    </w:p>
    <w:p>
      <w:pPr>
        <w:spacing w:before="240" w:after="240" w:line="276" w:lineRule="auto"/>
        <w:ind w:left="283"/>
      </w:pPr>
      <w:r>
        <w:rPr>
          <w:sz w:val="20"/>
        </w:rPr>
        <w:t>You cannot get grants without data. This toolkit gives you validated instruments, observation rubrics, and portfolio guidelines that produce the evidence funders and school boards need.</w:t>
        <w:br/>
      </w:r>
    </w:p>
    <w:p>
      <w:pPr>
        <w:pStyle w:val="Heading1"/>
        <w:pageBreakBefore/>
        <w:spacing w:line="276" w:lineRule="auto"/>
      </w:pPr>
      <w:r>
        <w:t>Assessment Toolkit</w:t>
      </w:r>
    </w:p>
    <w:p>
      <w:pPr>
        <w:spacing w:line="276" w:lineRule="auto"/>
      </w:pPr>
      <w:r>
        <w:t xml:space="preserve">Measuring compassion is not like measuring math. You cannot give a multiple-choice test on empathy. But you CAN observe behavioral changes, collect self-report data using validated scales, and document growth through portfolios. </w:t>
      </w:r>
    </w:p>
    <w:p>
      <w:pPr>
        <w:pStyle w:val="Heading2"/>
        <w:pageBreakBefore/>
        <w:spacing w:line="276" w:lineRule="auto"/>
      </w:pPr>
      <w:r>
        <w:t>Validated Instruments by Grade Band</w:t>
      </w:r>
    </w:p>
    <w:p>
      <w:pPr>
        <w:pStyle w:val="Heading3"/>
        <w:spacing w:line="276" w:lineRule="auto"/>
      </w:pPr>
      <w:r>
        <w:t>Kindergarten–2nd Grade (Tier 1-2)</w:t>
      </w:r>
    </w:p>
    <w:p>
      <w:pPr>
        <w:spacing w:before="240" w:after="240" w:line="276" w:lineRule="auto"/>
        <w:ind w:left="283"/>
      </w:pPr>
      <w:r>
        <w:rPr>
          <w:rFonts w:ascii="Cambria" w:hAnsi="Cambria"/>
          <w:b/>
        </w:rPr>
        <w:t>Bryant Empathy Index for Children (BEI)</w:t>
        <w:br/>
      </w:r>
      <w:r>
        <w:rPr>
          <w:sz w:val="20"/>
        </w:rPr>
        <w:t xml:space="preserve">  • 22-item self-report scale for young children</w:t>
        <w:br/>
      </w:r>
      <w:r>
        <w:rPr>
          <w:sz w:val="20"/>
        </w:rPr>
        <w:t xml:space="preserve">  • Measures affective empathy (feeling what others feel)</w:t>
        <w:br/>
      </w:r>
      <w:r>
        <w:rPr>
          <w:sz w:val="20"/>
        </w:rPr>
        <w:t xml:space="preserve">  • Administered verbally by teacher</w:t>
        <w:br/>
      </w:r>
      <w:r>
        <w:rPr>
          <w:sz w:val="20"/>
        </w:rPr>
        <w:t xml:space="preserve">  • Time: 10-15 minutes</w:t>
        <w:br/>
      </w:r>
      <w:r>
        <w:rPr>
          <w:sz w:val="20"/>
        </w:rPr>
        <w:t xml:space="preserve">  • Pre-test before first visit, post-test end of year</w:t>
        <w:br/>
      </w:r>
      <w:r>
        <w:rPr>
          <w:sz w:val="20"/>
        </w:rPr>
        <w:t xml:space="preserve">  • Free for research/educational use</w:t>
        <w:br/>
      </w:r>
    </w:p>
    <w:p>
      <w:pPr>
        <w:spacing w:before="240" w:after="240" w:line="276" w:lineRule="auto"/>
        <w:ind w:left="283"/>
      </w:pPr>
      <w:r>
        <w:rPr>
          <w:rFonts w:ascii="Cambria" w:hAnsi="Cambria"/>
          <w:b/>
        </w:rPr>
        <w:t>TOCA-C (Teacher Observation of Classroom Adaptation)</w:t>
        <w:br/>
      </w:r>
      <w:r>
        <w:rPr>
          <w:sz w:val="20"/>
        </w:rPr>
        <w:t xml:space="preserve">  • Teacher-completed behavioral observation</w:t>
        <w:br/>
      </w:r>
      <w:r>
        <w:rPr>
          <w:sz w:val="20"/>
        </w:rPr>
        <w:t xml:space="preserve">  • Measures prosocial behavior, concentration, disruption</w:t>
        <w:br/>
      </w:r>
      <w:r>
        <w:rPr>
          <w:sz w:val="20"/>
        </w:rPr>
        <w:t xml:space="preserve">  • Complete monthly — tracks change over time</w:t>
        <w:br/>
      </w:r>
      <w:r>
        <w:rPr>
          <w:sz w:val="20"/>
        </w:rPr>
        <w:t xml:space="preserve">  • Used in Samuels 2016 humane education study</w:t>
        <w:br/>
      </w:r>
      <w:r>
        <w:rPr>
          <w:sz w:val="20"/>
        </w:rPr>
        <w:t xml:space="preserve">  • Takes 5 minutes per student per month</w:t>
        <w:br/>
      </w:r>
    </w:p>
    <w:p>
      <w:pPr>
        <w:pStyle w:val="Heading3"/>
        <w:spacing w:line="276" w:lineRule="auto"/>
      </w:pPr>
      <w:r>
        <w:t>Grades 3–8 (Tier 2-3)</w:t>
      </w:r>
    </w:p>
    <w:p>
      <w:pPr>
        <w:spacing w:before="240" w:after="240" w:line="276" w:lineRule="auto"/>
        <w:ind w:left="283"/>
      </w:pPr>
      <w:r>
        <w:rPr>
          <w:rFonts w:ascii="Cambria" w:hAnsi="Cambria"/>
          <w:b/>
        </w:rPr>
        <w:t>Interpersonal Reactivity Index (IRI)</w:t>
        <w:br/>
      </w:r>
      <w:r>
        <w:rPr>
          <w:sz w:val="20"/>
        </w:rPr>
        <w:t xml:space="preserve">  • 28-item self-report empathy measure (gold standard)</w:t>
        <w:br/>
      </w:r>
      <w:r>
        <w:rPr>
          <w:sz w:val="20"/>
        </w:rPr>
        <w:t xml:space="preserve">  • 4 subscales: Perspective Taking, Fantasy, Empathic Concern, Personal Distress</w:t>
        <w:br/>
      </w:r>
      <w:r>
        <w:rPr>
          <w:sz w:val="20"/>
        </w:rPr>
        <w:t xml:space="preserve">  • Students complete independently</w:t>
        <w:br/>
      </w:r>
      <w:r>
        <w:rPr>
          <w:sz w:val="20"/>
        </w:rPr>
        <w:t xml:space="preserve">  • Time: 15-20 minutes</w:t>
        <w:br/>
      </w:r>
      <w:r>
        <w:rPr>
          <w:sz w:val="20"/>
        </w:rPr>
        <w:t xml:space="preserve">  • Most widely used empathy measure in peer-reviewed research</w:t>
        <w:br/>
      </w:r>
    </w:p>
    <w:p>
      <w:pPr>
        <w:spacing w:before="240" w:after="240" w:line="276" w:lineRule="auto"/>
        <w:ind w:left="283"/>
      </w:pPr>
      <w:r>
        <w:rPr>
          <w:rFonts w:ascii="Cambria" w:hAnsi="Cambria"/>
          <w:b/>
        </w:rPr>
        <w:t>Intermediate Attitude Scale (IAS)</w:t>
        <w:br/>
      </w:r>
      <w:r>
        <w:rPr>
          <w:sz w:val="20"/>
        </w:rPr>
        <w:t xml:space="preserve">  • Measures attitudes toward animals specifically</w:t>
        <w:br/>
      </w:r>
      <w:r>
        <w:rPr>
          <w:sz w:val="20"/>
        </w:rPr>
        <w:t xml:space="preserve">  • Used in Samuels et al. 2016</w:t>
        <w:br/>
      </w:r>
      <w:r>
        <w:rPr>
          <w:sz w:val="20"/>
        </w:rPr>
        <w:t xml:space="preserve">  • Captures change in student views on animal welfare</w:t>
        <w:br/>
      </w:r>
    </w:p>
    <w:p>
      <w:pPr>
        <w:pStyle w:val="Heading3"/>
        <w:spacing w:line="276" w:lineRule="auto"/>
      </w:pPr>
      <w:r>
        <w:t>Grades 9–12 (Tier 4-5)</w:t>
      </w:r>
    </w:p>
    <w:p>
      <w:pPr>
        <w:spacing w:line="276" w:lineRule="auto"/>
      </w:pPr>
      <w:r>
        <w:rPr>
          <w:b/>
        </w:rPr>
        <w:t>IRI Full Version</w:t>
      </w:r>
      <w:r>
        <w:t xml:space="preserve">(unmodified) + </w:t>
      </w:r>
      <w:r>
        <w:rPr>
          <w:b/>
        </w:rPr>
        <w:t>Capstone Portfolio Self-Assessment</w:t>
      </w:r>
      <w:r>
        <w:t xml:space="preserve">graded on effort/depth only. </w:t>
      </w:r>
    </w:p>
    <w:p>
      <w:pPr>
        <w:pStyle w:val="Heading2"/>
        <w:pageBreakBefore/>
        <w:spacing w:line="276" w:lineRule="auto"/>
      </w:pPr>
      <w:r>
        <w:t>Teacher Observation Rubric</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1872"/>
            <w:shd w:fill="6B8F71"/>
          </w:tcPr>
          <w:p>
            <w:pPr>
              <w:spacing w:line="276" w:lineRule="auto"/>
            </w:pPr>
            <w:r/>
            <w:r>
              <w:rPr>
                <w:b/>
                <w:color w:val="FFFFFF"/>
                <w:sz w:val="18"/>
              </w:rPr>
              <w:t>Behavior</w:t>
            </w:r>
          </w:p>
        </w:tc>
        <w:tc>
          <w:tcPr>
            <w:tcW w:type="dxa" w:w="1872"/>
            <w:shd w:fill="6B8F71"/>
          </w:tcPr>
          <w:p>
            <w:pPr>
              <w:spacing w:line="276" w:lineRule="auto"/>
            </w:pPr>
            <w:r/>
            <w:r>
              <w:rPr>
                <w:b/>
                <w:color w:val="FFFFFF"/>
                <w:sz w:val="18"/>
              </w:rPr>
              <w:t>Emerging (1)</w:t>
            </w:r>
          </w:p>
        </w:tc>
        <w:tc>
          <w:tcPr>
            <w:tcW w:type="dxa" w:w="1872"/>
            <w:shd w:fill="6B8F71"/>
          </w:tcPr>
          <w:p>
            <w:pPr>
              <w:spacing w:line="276" w:lineRule="auto"/>
            </w:pPr>
            <w:r/>
            <w:r>
              <w:rPr>
                <w:b/>
                <w:color w:val="FFFFFF"/>
                <w:sz w:val="18"/>
              </w:rPr>
              <w:t>Developing (2)</w:t>
            </w:r>
          </w:p>
        </w:tc>
        <w:tc>
          <w:tcPr>
            <w:tcW w:type="dxa" w:w="1872"/>
            <w:shd w:fill="6B8F71"/>
          </w:tcPr>
          <w:p>
            <w:pPr>
              <w:spacing w:line="276" w:lineRule="auto"/>
            </w:pPr>
            <w:r/>
            <w:r>
              <w:rPr>
                <w:b/>
                <w:color w:val="FFFFFF"/>
                <w:sz w:val="18"/>
              </w:rPr>
              <w:t>Proficient (3)</w:t>
            </w:r>
          </w:p>
        </w:tc>
        <w:tc>
          <w:tcPr>
            <w:tcW w:type="dxa" w:w="1872"/>
            <w:shd w:fill="6B8F71"/>
          </w:tcPr>
          <w:p>
            <w:pPr>
              <w:spacing w:line="276" w:lineRule="auto"/>
            </w:pPr>
            <w:r/>
            <w:r>
              <w:rPr>
                <w:b/>
                <w:color w:val="FFFFFF"/>
                <w:sz w:val="18"/>
              </w:rPr>
              <w:t>Exemplary (4)</w:t>
            </w:r>
          </w:p>
        </w:tc>
      </w:tr>
      <w:tr>
        <w:tc>
          <w:tcPr>
            <w:tcW w:type="dxa" w:w="1872"/>
          </w:tcPr>
          <w:p>
            <w:pPr>
              <w:spacing w:line="276" w:lineRule="auto"/>
            </w:pPr>
            <w:r/>
            <w:r>
              <w:rPr>
                <w:sz w:val="18"/>
              </w:rPr>
              <w:t>Gentle interaction</w:t>
            </w:r>
          </w:p>
        </w:tc>
        <w:tc>
          <w:tcPr>
            <w:tcW w:type="dxa" w:w="1872"/>
          </w:tcPr>
          <w:p>
            <w:pPr>
              <w:spacing w:line="276" w:lineRule="auto"/>
            </w:pPr>
            <w:r/>
            <w:r>
              <w:rPr>
                <w:sz w:val="18"/>
              </w:rPr>
              <w:t>Needs reminders</w:t>
            </w:r>
          </w:p>
        </w:tc>
        <w:tc>
          <w:tcPr>
            <w:tcW w:type="dxa" w:w="1872"/>
          </w:tcPr>
          <w:p>
            <w:pPr>
              <w:spacing w:line="276" w:lineRule="auto"/>
            </w:pPr>
            <w:r/>
            <w:r>
              <w:rPr>
                <w:sz w:val="18"/>
              </w:rPr>
              <w:t>Usually gentle with prompting</w:t>
            </w:r>
          </w:p>
        </w:tc>
        <w:tc>
          <w:tcPr>
            <w:tcW w:type="dxa" w:w="1872"/>
          </w:tcPr>
          <w:p>
            <w:pPr>
              <w:spacing w:line="276" w:lineRule="auto"/>
            </w:pPr>
            <w:r/>
            <w:r>
              <w:rPr>
                <w:sz w:val="18"/>
              </w:rPr>
              <w:t>Consistently gentle</w:t>
            </w:r>
          </w:p>
        </w:tc>
        <w:tc>
          <w:tcPr>
            <w:tcW w:type="dxa" w:w="1872"/>
          </w:tcPr>
          <w:p>
            <w:pPr>
              <w:spacing w:line="276" w:lineRule="auto"/>
            </w:pPr>
            <w:r/>
            <w:r>
              <w:rPr>
                <w:sz w:val="18"/>
              </w:rPr>
              <w:t>Models for others</w:t>
            </w:r>
          </w:p>
        </w:tc>
      </w:tr>
      <w:tr>
        <w:tc>
          <w:tcPr>
            <w:tcW w:type="dxa" w:w="1872"/>
          </w:tcPr>
          <w:p>
            <w:pPr>
              <w:spacing w:line="276" w:lineRule="auto"/>
            </w:pPr>
            <w:r/>
            <w:r>
              <w:rPr>
                <w:sz w:val="18"/>
              </w:rPr>
              <w:t>Verbal empathy</w:t>
            </w:r>
          </w:p>
        </w:tc>
        <w:tc>
          <w:tcPr>
            <w:tcW w:type="dxa" w:w="1872"/>
          </w:tcPr>
          <w:p>
            <w:pPr>
              <w:spacing w:line="276" w:lineRule="auto"/>
            </w:pPr>
            <w:r/>
            <w:r>
              <w:rPr>
                <w:sz w:val="18"/>
              </w:rPr>
              <w:t>Rarely comments on feelings</w:t>
            </w:r>
          </w:p>
        </w:tc>
        <w:tc>
          <w:tcPr>
            <w:tcW w:type="dxa" w:w="1872"/>
          </w:tcPr>
          <w:p>
            <w:pPr>
              <w:spacing w:line="276" w:lineRule="auto"/>
            </w:pPr>
            <w:r/>
            <w:r>
              <w:rPr>
                <w:sz w:val="18"/>
              </w:rPr>
              <w:t>Identifies obvious emotions when asked</w:t>
            </w:r>
          </w:p>
        </w:tc>
        <w:tc>
          <w:tcPr>
            <w:tcW w:type="dxa" w:w="1872"/>
          </w:tcPr>
          <w:p>
            <w:pPr>
              <w:spacing w:line="276" w:lineRule="auto"/>
            </w:pPr>
            <w:r/>
            <w:r>
              <w:rPr>
                <w:sz w:val="18"/>
              </w:rPr>
              <w:t>Spontaneously names emotions</w:t>
            </w:r>
          </w:p>
        </w:tc>
        <w:tc>
          <w:tcPr>
            <w:tcW w:type="dxa" w:w="1872"/>
          </w:tcPr>
          <w:p>
            <w:pPr>
              <w:spacing w:line="276" w:lineRule="auto"/>
            </w:pPr>
            <w:r/>
            <w:r>
              <w:rPr>
                <w:sz w:val="18"/>
              </w:rPr>
              <w:t>Connects animal to human feelings</w:t>
            </w:r>
          </w:p>
        </w:tc>
      </w:tr>
      <w:tr>
        <w:tc>
          <w:tcPr>
            <w:tcW w:type="dxa" w:w="1872"/>
          </w:tcPr>
          <w:p>
            <w:pPr>
              <w:spacing w:line="276" w:lineRule="auto"/>
            </w:pPr>
            <w:r/>
            <w:r>
              <w:rPr>
                <w:sz w:val="18"/>
              </w:rPr>
              <w:t>Responsibility</w:t>
            </w:r>
          </w:p>
        </w:tc>
        <w:tc>
          <w:tcPr>
            <w:tcW w:type="dxa" w:w="1872"/>
          </w:tcPr>
          <w:p>
            <w:pPr>
              <w:spacing w:line="276" w:lineRule="auto"/>
            </w:pPr>
            <w:r/>
            <w:r>
              <w:rPr>
                <w:sz w:val="18"/>
              </w:rPr>
              <w:t>Participates only when directed</w:t>
            </w:r>
          </w:p>
        </w:tc>
        <w:tc>
          <w:tcPr>
            <w:tcW w:type="dxa" w:w="1872"/>
          </w:tcPr>
          <w:p>
            <w:pPr>
              <w:spacing w:line="276" w:lineRule="auto"/>
            </w:pPr>
            <w:r/>
            <w:r>
              <w:rPr>
                <w:sz w:val="18"/>
              </w:rPr>
              <w:t>Completes assigned tasks</w:t>
            </w:r>
          </w:p>
        </w:tc>
        <w:tc>
          <w:tcPr>
            <w:tcW w:type="dxa" w:w="1872"/>
          </w:tcPr>
          <w:p>
            <w:pPr>
              <w:spacing w:line="276" w:lineRule="auto"/>
            </w:pPr>
            <w:r/>
            <w:r>
              <w:rPr>
                <w:sz w:val="18"/>
              </w:rPr>
              <w:t>Volunteers for tasks</w:t>
            </w:r>
          </w:p>
        </w:tc>
        <w:tc>
          <w:tcPr>
            <w:tcW w:type="dxa" w:w="1872"/>
          </w:tcPr>
          <w:p>
            <w:pPr>
              <w:spacing w:line="276" w:lineRule="auto"/>
            </w:pPr>
            <w:r/>
            <w:r>
              <w:rPr>
                <w:sz w:val="18"/>
              </w:rPr>
              <w:t>Initiates care unprompted</w:t>
            </w:r>
          </w:p>
        </w:tc>
      </w:tr>
      <w:tr>
        <w:tc>
          <w:tcPr>
            <w:tcW w:type="dxa" w:w="1872"/>
          </w:tcPr>
          <w:p>
            <w:pPr>
              <w:spacing w:line="276" w:lineRule="auto"/>
            </w:pPr>
            <w:r/>
            <w:r>
              <w:rPr>
                <w:sz w:val="18"/>
              </w:rPr>
              <w:t>Peer kindness</w:t>
            </w:r>
          </w:p>
        </w:tc>
        <w:tc>
          <w:tcPr>
            <w:tcW w:type="dxa" w:w="1872"/>
          </w:tcPr>
          <w:p>
            <w:pPr>
              <w:spacing w:line="276" w:lineRule="auto"/>
            </w:pPr>
            <w:r/>
            <w:r>
              <w:rPr>
                <w:sz w:val="18"/>
              </w:rPr>
              <w:t>Minimal interaction</w:t>
            </w:r>
          </w:p>
        </w:tc>
        <w:tc>
          <w:tcPr>
            <w:tcW w:type="dxa" w:w="1872"/>
          </w:tcPr>
          <w:p>
            <w:pPr>
              <w:spacing w:line="276" w:lineRule="auto"/>
            </w:pPr>
            <w:r/>
            <w:r>
              <w:rPr>
                <w:sz w:val="18"/>
              </w:rPr>
              <w:t>Shares space</w:t>
            </w:r>
          </w:p>
        </w:tc>
        <w:tc>
          <w:tcPr>
            <w:tcW w:type="dxa" w:w="1872"/>
          </w:tcPr>
          <w:p>
            <w:pPr>
              <w:spacing w:line="276" w:lineRule="auto"/>
            </w:pPr>
            <w:r/>
            <w:r>
              <w:rPr>
                <w:sz w:val="18"/>
              </w:rPr>
              <w:t>Helps peers with animals</w:t>
            </w:r>
          </w:p>
        </w:tc>
        <w:tc>
          <w:tcPr>
            <w:tcW w:type="dxa" w:w="1872"/>
          </w:tcPr>
          <w:p>
            <w:pPr>
              <w:spacing w:line="276" w:lineRule="auto"/>
            </w:pPr>
            <w:r/>
            <w:r>
              <w:rPr>
                <w:sz w:val="18"/>
              </w:rPr>
              <w:t>Supports hesitant peers</w:t>
            </w:r>
          </w:p>
        </w:tc>
      </w:tr>
    </w:tbl>
    <w:p>
      <w:pPr>
        <w:spacing w:line="276" w:lineRule="auto"/>
      </w:pPr>
    </w:p>
    <w:p>
      <w:pPr>
        <w:pStyle w:val="Heading2"/>
        <w:pageBreakBefore/>
        <w:spacing w:line="276" w:lineRule="auto"/>
      </w:pPr>
      <w:r>
        <w:t>Student Portfolio Contents</w:t>
      </w:r>
    </w:p>
    <w:p>
      <w:pPr>
        <w:spacing w:line="276" w:lineRule="auto"/>
        <w:ind w:left="720"/>
      </w:pPr>
      <w:r>
        <w:t xml:space="preserve">• </w:t>
      </w:r>
      <w:r>
        <w:rPr>
          <w:b/>
        </w:rPr>
        <w:t>Tier 1 (K-1):</w:t>
      </w:r>
      <w:r>
        <w:t xml:space="preserve">Drawings, dictated observations, teacher notes, photos </w:t>
      </w:r>
    </w:p>
    <w:p>
      <w:pPr>
        <w:spacing w:line="276" w:lineRule="auto"/>
        <w:ind w:left="720"/>
      </w:pPr>
      <w:r>
        <w:t xml:space="preserve">• </w:t>
      </w:r>
      <w:r>
        <w:rPr>
          <w:b/>
        </w:rPr>
        <w:t>Tier 2 (2-5):</w:t>
      </w:r>
      <w:r>
        <w:t xml:space="preserve">Written reflections, Pet Care Plan, reading log, photos </w:t>
      </w:r>
    </w:p>
    <w:p>
      <w:pPr>
        <w:spacing w:line="276" w:lineRule="auto"/>
        <w:ind w:left="720"/>
      </w:pPr>
      <w:r>
        <w:t xml:space="preserve">• </w:t>
      </w:r>
      <w:r>
        <w:rPr>
          <w:b/>
        </w:rPr>
        <w:t>Tier 3 (6-8):</w:t>
      </w:r>
      <w:r>
        <w:t xml:space="preserve">Journal entries, service-learning hours, group project docs </w:t>
      </w:r>
    </w:p>
    <w:p>
      <w:pPr>
        <w:spacing w:line="276" w:lineRule="auto"/>
        <w:ind w:left="720"/>
      </w:pPr>
      <w:r>
        <w:t xml:space="preserve">• </w:t>
      </w:r>
      <w:r>
        <w:rPr>
          <w:b/>
        </w:rPr>
        <w:t>Tier 4 (9-10):</w:t>
      </w:r>
      <w:r>
        <w:t xml:space="preserve">Research papers, service documentation, career project </w:t>
      </w:r>
    </w:p>
    <w:p>
      <w:pPr>
        <w:spacing w:line="276" w:lineRule="auto"/>
        <w:ind w:left="720"/>
      </w:pPr>
      <w:r>
        <w:t xml:space="preserve">• </w:t>
      </w:r>
      <w:r>
        <w:rPr>
          <w:b/>
        </w:rPr>
        <w:t>Tier 5 (11-12):</w:t>
      </w:r>
      <w:r>
        <w:t xml:space="preserve">Capstone project, philosophical reflections, peer discourse log </w:t>
      </w:r>
    </w:p>
    <w:p>
      <w:pPr>
        <w:pStyle w:val="Heading2"/>
        <w:pageBreakBefore/>
        <w:spacing w:line="276" w:lineRule="auto"/>
      </w:pPr>
      <w:r>
        <w:t>Data Collection for Grant Reports</w:t>
      </w:r>
    </w:p>
    <w:p>
      <w:pPr>
        <w:spacing w:before="240" w:after="240" w:line="276" w:lineRule="auto"/>
        <w:ind w:left="283"/>
      </w:pPr>
      <w:r>
        <w:rPr>
          <w:b/>
          <w:color w:val="6B8F71"/>
          <w:sz w:val="22"/>
        </w:rPr>
        <w:t>▌ What Funders Want</w:t>
        <w:br/>
      </w:r>
      <w:r>
        <w:rPr>
          <w:sz w:val="20"/>
        </w:rPr>
        <w:t>(1) Students served, (2) Pre/post scores showing improvement, (3) Teacher satisfaction, (4) Behavioral data (bullying incidents), (5) Quotes from students/teachers/parents, (6) Photos. Collect ALL from Day 1.</w:t>
        <w:br/>
      </w:r>
    </w:p>
    <w:p>
      <w:pPr>
        <w:pStyle w:val="Heading3"/>
        <w:spacing w:line="276" w:lineRule="auto"/>
      </w:pPr>
      <w:r>
        <w:t>Free Tools</w:t>
      </w:r>
    </w:p>
    <w:p>
      <w:pPr>
        <w:spacing w:line="276" w:lineRule="auto"/>
        <w:ind w:left="720"/>
      </w:pPr>
      <w:r>
        <w:t xml:space="preserve">• </w:t>
      </w:r>
      <w:r>
        <w:rPr>
          <w:b/>
        </w:rPr>
        <w:t>Google Forms:</w:t>
      </w:r>
      <w:r>
        <w:t xml:space="preserve">Pre/post surveys (auto-creates spreadsheet) </w:t>
      </w:r>
    </w:p>
    <w:p>
      <w:pPr>
        <w:spacing w:line="276" w:lineRule="auto"/>
        <w:ind w:left="720"/>
      </w:pPr>
      <w:r>
        <w:t xml:space="preserve">• </w:t>
      </w:r>
      <w:r>
        <w:rPr>
          <w:b/>
        </w:rPr>
        <w:t>Google Sheets:</w:t>
      </w:r>
      <w:r>
        <w:t xml:space="preserve">Monthly observation data </w:t>
      </w:r>
    </w:p>
    <w:p>
      <w:pPr>
        <w:spacing w:line="276" w:lineRule="auto"/>
        <w:ind w:left="720"/>
      </w:pPr>
      <w:r>
        <w:t xml:space="preserve">• </w:t>
      </w:r>
      <w:r>
        <w:rPr>
          <w:b/>
        </w:rPr>
        <w:t>Google Drive:</w:t>
      </w:r>
      <w:r>
        <w:t xml:space="preserve">Photo organization by date/school </w:t>
      </w:r>
    </w:p>
    <w:p>
      <w:pPr>
        <w:spacing w:line="276" w:lineRule="auto"/>
        <w:ind w:left="720"/>
      </w:pPr>
      <w:r>
        <w:t xml:space="preserve">• </w:t>
      </w:r>
      <w:r>
        <w:rPr>
          <w:b/>
        </w:rPr>
        <w:t>Simple spreadsheet:</w:t>
      </w:r>
      <w:r>
        <w:t xml:space="preserve">Attendance, incidents, hours </w:t>
      </w:r>
    </w:p>
    <w:p>
      <w:pPr>
        <w:spacing w:before="240" w:after="240" w:line="276" w:lineRule="auto"/>
        <w:ind w:left="283"/>
      </w:pPr>
      <w:r>
        <w:rPr>
          <w:sz w:val="20"/>
        </w:rPr>
        <w:t>Start collecting data from your FIRST session. Every data point becomes evidence for grants, school boards, and expansion. The programs that grow fastest are the ones that can PROVE they work.</w:t>
        <w:br/>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